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504" w14:textId="128CE338" w:rsidR="00F71945" w:rsidRDefault="00056E7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56E7B">
        <w:rPr>
          <w:rFonts w:ascii="Times New Roman" w:hAnsi="Times New Roman" w:cs="Times New Roman"/>
          <w:b/>
          <w:sz w:val="28"/>
        </w:rPr>
        <w:t> "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Ақмола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облысы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басқармасының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Бурабай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ауданы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бойынша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бөлімі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Оқжетпес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ауылының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жалпы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орта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беретін</w:t>
      </w:r>
      <w:proofErr w:type="spellEnd"/>
      <w:r w:rsidRPr="00056E7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56E7B">
        <w:rPr>
          <w:rFonts w:ascii="Times New Roman" w:hAnsi="Times New Roman" w:cs="Times New Roman"/>
          <w:b/>
          <w:sz w:val="28"/>
        </w:rPr>
        <w:t>мектебі</w:t>
      </w:r>
      <w:proofErr w:type="spellEnd"/>
      <w:r w:rsidRPr="00056E7B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404A8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3C4502DA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056E7B" w:rsidRPr="00056E7B">
        <w:rPr>
          <w:rFonts w:ascii="Times New Roman" w:hAnsi="Times New Roman" w:cs="Times New Roman"/>
          <w:b/>
          <w:sz w:val="28"/>
          <w:lang w:val="kk-KZ"/>
        </w:rPr>
        <w:t> </w:t>
      </w:r>
      <w:r w:rsidR="00056E7B" w:rsidRPr="00056E7B">
        <w:rPr>
          <w:rFonts w:ascii="Times New Roman" w:hAnsi="Times New Roman" w:cs="Times New Roman"/>
          <w:bCs/>
          <w:sz w:val="28"/>
          <w:lang w:val="kk-KZ"/>
        </w:rPr>
        <w:t>"Ақмола облысы білім басқармасының Бурабай ауданы бойынша білім бөлімі Оқжетпес ауылының жалпы орта білім беретін мектебі"</w:t>
      </w:r>
      <w:r w:rsidR="005F0E1A">
        <w:rPr>
          <w:rFonts w:ascii="Times New Roman" w:hAnsi="Times New Roman" w:cs="Times New Roman"/>
          <w:sz w:val="28"/>
          <w:lang w:val="kk-KZ"/>
        </w:rPr>
        <w:t xml:space="preserve"> 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5" w:history="1">
        <w:hyperlink r:id="rId6" w:history="1">
          <w:r w:rsidR="00056E7B" w:rsidRPr="00056E7B">
            <w:rPr>
              <w:rStyle w:val="a3"/>
              <w:rFonts w:ascii="Times New Roman" w:hAnsi="Times New Roman" w:cs="Times New Roman"/>
              <w:sz w:val="28"/>
              <w:lang w:val="kk-KZ"/>
            </w:rPr>
            <w:t>2025 жылғы мемлекеттік қызметтер көрсету саласындағы қызметі туралы есептерін қоғамдық талқылау</w:t>
          </w:r>
        </w:hyperlink>
        <w:r w:rsidR="00056E7B" w:rsidRPr="00056E7B">
          <w:rPr>
            <w:rStyle w:val="a3"/>
            <w:rFonts w:ascii="Times New Roman" w:hAnsi="Times New Roman" w:cs="Times New Roman"/>
            <w:sz w:val="28"/>
            <w:lang w:val="kk-KZ"/>
          </w:rPr>
          <w:t>.</w:t>
        </w:r>
      </w:hyperlink>
    </w:p>
    <w:p w14:paraId="471AC0B0" w14:textId="42BA97A3" w:rsidR="00AC38BC" w:rsidRPr="00A25DDB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056E7B" w:rsidRPr="00056E7B">
        <w:rPr>
          <w:rFonts w:ascii="Times New Roman" w:hAnsi="Times New Roman" w:cs="Times New Roman"/>
          <w:bCs/>
          <w:sz w:val="28"/>
          <w:lang w:val="kk-KZ"/>
        </w:rPr>
        <w:t>"Ақмола облысы білім басқармасының Бурабай ауданы бойынша білім бөлімі Оқжетпес ауылының жалпы орта білім беретін мектебі"</w:t>
      </w:r>
      <w:r w:rsidR="00056E7B">
        <w:rPr>
          <w:rFonts w:ascii="Times New Roman" w:hAnsi="Times New Roman" w:cs="Times New Roman"/>
          <w:sz w:val="28"/>
          <w:lang w:val="kk-KZ"/>
        </w:rPr>
        <w:t xml:space="preserve"> </w:t>
      </w:r>
      <w:r w:rsidR="001A41DB">
        <w:rPr>
          <w:rFonts w:ascii="Times New Roman" w:hAnsi="Times New Roman" w:cs="Times New Roman"/>
          <w:sz w:val="28"/>
          <w:lang w:val="kk-KZ"/>
        </w:rPr>
        <w:t xml:space="preserve"> 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056E7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7" w:history="1">
        <w:r w:rsidR="00056E7B" w:rsidRPr="00056E7B">
          <w:rPr>
            <w:rStyle w:val="a3"/>
            <w:rFonts w:ascii="Times New Roman" w:hAnsi="Times New Roman" w:cs="Times New Roman"/>
            <w:sz w:val="28"/>
            <w:lang w:val="kk-KZ"/>
          </w:rPr>
          <w:t>2025 жылғы мемлекеттік қызметтер көрсету саласындағы қызметі туралы есептерін қоғамдық талқылау</w:t>
        </w:r>
      </w:hyperlink>
      <w:r w:rsidR="00A25DDB" w:rsidRPr="00A25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5EF0DC" w14:textId="6C35825A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056E7B" w:rsidRPr="00056E7B">
        <w:rPr>
          <w:rFonts w:ascii="Times New Roman" w:hAnsi="Times New Roman" w:cs="Times New Roman"/>
          <w:bCs/>
          <w:sz w:val="28"/>
          <w:lang w:val="kk-KZ"/>
        </w:rPr>
        <w:t>"Ақмола облысы білім басқармасының Бурабай ауданы бойынша білім бөлімі Оқжетпес ауылының жалпы орта білім беретін мектебі"</w:t>
      </w:r>
      <w:r w:rsidR="00056E7B">
        <w:rPr>
          <w:rFonts w:ascii="Times New Roman" w:hAnsi="Times New Roman" w:cs="Times New Roman"/>
          <w:sz w:val="28"/>
          <w:lang w:val="kk-KZ"/>
        </w:rPr>
        <w:t xml:space="preserve"> </w:t>
      </w:r>
      <w:r w:rsidR="00056E7B">
        <w:rPr>
          <w:rFonts w:ascii="Times New Roman" w:hAnsi="Times New Roman" w:cs="Times New Roman"/>
          <w:sz w:val="28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 w14:textId="1272E7C6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об итогах проведения публичного обсуждения отчета о деятельности государственного учреждения </w:t>
      </w:r>
      <w:r w:rsidR="00056E7B" w:rsidRPr="00056E7B">
        <w:rPr>
          <w:rFonts w:ascii="Times New Roman" w:hAnsi="Times New Roman" w:cs="Times New Roman"/>
          <w:b/>
          <w:sz w:val="28"/>
        </w:rPr>
        <w:t>«Общеобразовательная школа села Окжетпес отдела образования по Бурабайскому району управления образования Акмолинской области»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6FDF9762" w14:textId="4E6E4BF6" w:rsidR="00721C95" w:rsidRPr="00056E7B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</w:t>
      </w:r>
      <w:r w:rsidR="00056E7B">
        <w:rPr>
          <w:rFonts w:ascii="Times New Roman" w:hAnsi="Times New Roman" w:cs="Times New Roman"/>
          <w:sz w:val="28"/>
          <w:lang w:val="kk-KZ"/>
        </w:rPr>
        <w:t>КГУ</w:t>
      </w:r>
      <w:r w:rsidR="00056E7B" w:rsidRPr="00056E7B">
        <w:rPr>
          <w:rFonts w:ascii="Times New Roman" w:hAnsi="Times New Roman" w:cs="Times New Roman"/>
          <w:sz w:val="28"/>
        </w:rPr>
        <w:t xml:space="preserve"> «Общеобразовательная школа села Окжетпес отдела образования по Бурабайскому району управления образования Акмолинской области» </w:t>
      </w:r>
      <w:r>
        <w:rPr>
          <w:rFonts w:ascii="Times New Roman" w:hAnsi="Times New Roman" w:cs="Times New Roman"/>
          <w:sz w:val="28"/>
          <w:lang w:val="kk-KZ"/>
        </w:rPr>
        <w:t xml:space="preserve">  ссылка </w:t>
      </w:r>
      <w:hyperlink r:id="rId8" w:history="1">
        <w:r w:rsidR="00056E7B" w:rsidRPr="00056E7B">
          <w:rPr>
            <w:rStyle w:val="a3"/>
          </w:rPr>
          <w:t>Публичное обсуждение отчетов о деятельности в сфере оказания государственных услуг за 2025 год.</w:t>
        </w:r>
      </w:hyperlink>
      <w:r w:rsidR="00056E7B">
        <w:rPr>
          <w:lang w:val="kk-KZ"/>
        </w:rPr>
        <w:t xml:space="preserve"> </w:t>
      </w:r>
    </w:p>
    <w:p w14:paraId="3EC1CF15" w14:textId="3F09C5DD" w:rsidR="006065BF" w:rsidRPr="005768C8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056E7B">
        <w:rPr>
          <w:rFonts w:ascii="Times New Roman" w:hAnsi="Times New Roman" w:cs="Times New Roman"/>
          <w:sz w:val="28"/>
          <w:lang w:val="kk-KZ"/>
        </w:rPr>
        <w:t xml:space="preserve">КГУ </w:t>
      </w:r>
      <w:r w:rsidR="00056E7B" w:rsidRPr="00056E7B">
        <w:rPr>
          <w:rFonts w:ascii="Times New Roman" w:hAnsi="Times New Roman" w:cs="Times New Roman"/>
          <w:sz w:val="28"/>
        </w:rPr>
        <w:t xml:space="preserve"> «Общеобразовательная школа села Окжетпес отдела образования по Бурабайскому району управления образования Акмолинской области» </w:t>
      </w:r>
      <w:r>
        <w:rPr>
          <w:rFonts w:ascii="Times New Roman" w:hAnsi="Times New Roman" w:cs="Times New Roman"/>
          <w:sz w:val="28"/>
          <w:lang w:val="kk-KZ"/>
        </w:rPr>
        <w:t xml:space="preserve">  ссылка </w:t>
      </w:r>
      <w:hyperlink r:id="rId9" w:history="1">
        <w:r w:rsidR="00056E7B" w:rsidRPr="00056E7B">
          <w:rPr>
            <w:rStyle w:val="a3"/>
          </w:rPr>
          <w:t>Публичное обсуждение отчетов о деятельности в сфере оказания государственных услуг за 2025 год.</w:t>
        </w:r>
      </w:hyperlink>
      <w:r w:rsidR="005768C8" w:rsidRPr="00576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C1D5EE6" w14:textId="7A0D4B1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="00056E7B">
        <w:rPr>
          <w:rFonts w:ascii="Times New Roman" w:hAnsi="Times New Roman" w:cs="Times New Roman"/>
          <w:sz w:val="28"/>
          <w:lang w:val="kk-KZ"/>
        </w:rPr>
        <w:t xml:space="preserve">КГУ </w:t>
      </w:r>
      <w:r w:rsidR="00056E7B" w:rsidRPr="00056E7B">
        <w:rPr>
          <w:rFonts w:ascii="Times New Roman" w:hAnsi="Times New Roman" w:cs="Times New Roman"/>
          <w:sz w:val="28"/>
        </w:rPr>
        <w:t xml:space="preserve"> «Общеобразовательная школа села Окжетпес отдела образования по Бурабайскому району управления образования Акмолинской области»</w:t>
      </w:r>
      <w:r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56E7B"/>
    <w:rsid w:val="000A1B9E"/>
    <w:rsid w:val="000F5970"/>
    <w:rsid w:val="00153816"/>
    <w:rsid w:val="001A41DB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83501"/>
    <w:rsid w:val="00AC38BC"/>
    <w:rsid w:val="00AF7B36"/>
    <w:rsid w:val="00B0289E"/>
    <w:rsid w:val="00B77537"/>
    <w:rsid w:val="00BF6500"/>
    <w:rsid w:val="00C05C07"/>
    <w:rsid w:val="00C16703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0026.burabay.aqmoedu.kz/content/publichnoe-obsughdenie-otchetov-o-deyatelynosti-v-sfere-okazaniya-gos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0026.burabay.aqmoedu.kz/content/publichnoe-obsughdenie-otchetov-o-deyatelynosti-v-sfere-okazaniya-gos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0026.burabay.aqmoedu.kz/content/publichnoe-obsughdenie-otchetov-o-deyatelynosti-v-sfere-okazaniya-gos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0026.burabay.aqmoedu.kz/content/publichnoe-obsughdenie-otchetov-o-deyatelynosti-v-sfere-okazaniya-gos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0026.burabay.aqmoedu.kz/content/publichnoe-obsughdenie-otchetov-o-deyatelynosti-v-sfere-okazaniya-go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3E3-18F4-49CD-8A29-FD2CB50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4</cp:revision>
  <cp:lastPrinted>2024-04-03T11:01:00Z</cp:lastPrinted>
  <dcterms:created xsi:type="dcterms:W3CDTF">2025-04-03T13:13:00Z</dcterms:created>
  <dcterms:modified xsi:type="dcterms:W3CDTF">2026-04-03T11:28:00Z</dcterms:modified>
</cp:coreProperties>
</file>